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9DE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center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  <w:r w:rsidRPr="007015AF"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  <w:t>Enseignement spécialisé</w:t>
      </w:r>
    </w:p>
    <w:p w14:paraId="3BCB939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0BE8E3B1" w14:textId="77777777" w:rsidR="007015AF" w:rsidRPr="007015AF" w:rsidRDefault="007015AF" w:rsidP="0070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Certaines activités de l’enseignement ordinaire sont accessibles à l’enseignement spécialisé.  Des renseignements seront donnés en temps voulu par le responsable FSWBE.</w:t>
      </w:r>
    </w:p>
    <w:p w14:paraId="0073B1C1" w14:textId="77777777" w:rsidR="007015AF" w:rsidRPr="007015AF" w:rsidRDefault="007015AF" w:rsidP="007015AF">
      <w:pPr>
        <w:tabs>
          <w:tab w:val="left" w:pos="180"/>
          <w:tab w:val="left" w:pos="19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176F248" w14:textId="77777777" w:rsidR="007015AF" w:rsidRPr="007015AF" w:rsidRDefault="007015AF" w:rsidP="007015AF">
      <w:pPr>
        <w:tabs>
          <w:tab w:val="left" w:pos="180"/>
          <w:tab w:val="left" w:pos="19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1. ENSEIGNEMENT FONDAMENTAL</w:t>
      </w:r>
    </w:p>
    <w:p w14:paraId="7B39A4B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val="fr-FR" w:eastAsia="fr-FR"/>
          <w14:ligatures w14:val="none"/>
        </w:rPr>
      </w:pPr>
    </w:p>
    <w:p w14:paraId="6D7045A9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inscriptions doivent être introduites avant la première réunion générale de l’année scolaire 2024-2025 (en septembre 2024).</w:t>
      </w:r>
    </w:p>
    <w:p w14:paraId="072D4E1F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élèves doivent être inscrits dans un établissement d’enseignement spécialisé fondamental de la Fédération Wallonie-Bruxelles.</w:t>
      </w:r>
    </w:p>
    <w:p w14:paraId="701ABA2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C6346A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Catégories d’âge</w:t>
      </w:r>
    </w:p>
    <w:p w14:paraId="179B27C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652ABD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 1 : élèves né(e)s en 2018 et après.</w:t>
      </w:r>
    </w:p>
    <w:p w14:paraId="1C97B5DF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 2 : élèves né(e)s en 2016 et 2017.</w:t>
      </w:r>
    </w:p>
    <w:p w14:paraId="0328E02A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 3 : élèves né(e)s en 2014 et 2015.</w:t>
      </w:r>
    </w:p>
    <w:p w14:paraId="522C6EE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 4 : élèves né(e)s en 2013 et avant.</w:t>
      </w:r>
    </w:p>
    <w:p w14:paraId="0DA8080A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</w:pPr>
    </w:p>
    <w:p w14:paraId="024929E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A. Sports collectifs</w:t>
      </w:r>
    </w:p>
    <w:p w14:paraId="4BD8195E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C51FE5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Minibasket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, netball, football en salle et unihockey.</w:t>
      </w:r>
    </w:p>
    <w:p w14:paraId="30967219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6A3E88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B. Grandes journées</w:t>
      </w:r>
    </w:p>
    <w:p w14:paraId="291D16EE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C057AA8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Athlétisme, baseball, cross, natation, expression rythmique, marche d’orientation, tennis de table, VTT *.</w:t>
      </w:r>
    </w:p>
    <w:p w14:paraId="593F62D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FBF837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C.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Activités pour les jeunes élèves relevant des types 1, 3, 8 d’enseignement « Les Poussins »</w:t>
      </w:r>
    </w:p>
    <w:p w14:paraId="2123FA6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C4ADB1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Activités spécifiques en accord avec le responsable FSWBE.</w:t>
      </w:r>
    </w:p>
    <w:p w14:paraId="5EC3399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28495F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D. Journées spécifiques aux élèves relevant du type 2 d’enseignement</w:t>
      </w:r>
    </w:p>
    <w:p w14:paraId="33791AB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802A1FE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Athlétisme, gymkhana rallye, natation, unihockey.</w:t>
      </w:r>
    </w:p>
    <w:p w14:paraId="280D710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6B5042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E. Journées spécifiques aux élèves relevant du type 4 d’enseignement</w:t>
      </w:r>
    </w:p>
    <w:p w14:paraId="096C853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33F41EF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Activités spécifiques en accord avec le responsable FSWBE.</w:t>
      </w:r>
    </w:p>
    <w:p w14:paraId="4CD1351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0EE368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F. Journées sportives à caractère local</w:t>
      </w:r>
    </w:p>
    <w:p w14:paraId="1DADBE78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D70BFA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Activités spécifiques en accord avec le responsable FSWBE.</w:t>
      </w:r>
    </w:p>
    <w:p w14:paraId="597492FA" w14:textId="77777777" w:rsidR="007015AF" w:rsidRPr="007015AF" w:rsidRDefault="007015AF" w:rsidP="007015AF">
      <w:pPr>
        <w:pBdr>
          <w:bottom w:val="single" w:sz="4" w:space="1" w:color="auto"/>
        </w:pBd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8375497" w14:textId="77777777" w:rsidR="007015AF" w:rsidRPr="007015AF" w:rsidRDefault="007015AF" w:rsidP="007015AF">
      <w:pPr>
        <w:pBdr>
          <w:bottom w:val="single" w:sz="4" w:space="1" w:color="auto"/>
        </w:pBd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DB5018B" w14:textId="77777777" w:rsidR="007015AF" w:rsidRPr="007015AF" w:rsidRDefault="007015AF" w:rsidP="007015AF">
      <w:pPr>
        <w:pBdr>
          <w:bottom w:val="single" w:sz="4" w:space="1" w:color="auto"/>
        </w:pBd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408FF6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* Pour le VTT, il n’y a pas d’intervention dans les frais de déplacement.</w:t>
      </w:r>
    </w:p>
    <w:p w14:paraId="383BA87A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3BB2CC8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2.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ENSEIGNEMENT SECONDAIRE</w:t>
      </w:r>
    </w:p>
    <w:p w14:paraId="1EB1D40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720663E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0FF0D8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inscriptions sont à rentrer lors de la première réunion générale de l’année scolaire 2025-2026 (en septembre 2025).</w:t>
      </w:r>
    </w:p>
    <w:p w14:paraId="73B5AB1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élèves doivent être inscrits dans un établissement d’enseignement spécialisé secondaire de la Fédération Wallonie-Bruxelles.</w:t>
      </w:r>
    </w:p>
    <w:p w14:paraId="1B713EB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27EBBB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Remarques :</w:t>
      </w:r>
    </w:p>
    <w:p w14:paraId="32F4CDF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48DB50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sym w:font="Wingdings" w:char="F077"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pour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les grandes journées, les cars privés peuvent exceptionnellement être autorisés ;</w:t>
      </w:r>
    </w:p>
    <w:p w14:paraId="7B668789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sym w:font="Wingdings" w:char="F077"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pour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les autres journées, utilisation de cars scolaires et/ou du véhicule privé uniquement.</w:t>
      </w:r>
    </w:p>
    <w:p w14:paraId="276A836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C3F471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2979DF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bookmarkStart w:id="0" w:name="_Hlk139372307"/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Catégories d’âge</w:t>
      </w:r>
    </w:p>
    <w:p w14:paraId="6D94E22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3B5CE70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Filles :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catégorie 1 : élèves nées en 2010 et après = filles - de 16 ans.</w:t>
      </w:r>
    </w:p>
    <w:p w14:paraId="70BD5C5A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 : élèves nées en 2009 et avant = filles + de 16 ans.</w:t>
      </w:r>
    </w:p>
    <w:p w14:paraId="2B8CD558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Garçons :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catégorie 1 : élèves nés en 2011 et après.</w:t>
      </w:r>
    </w:p>
    <w:p w14:paraId="54E15321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 : élèves nés en 2009 et 2010.</w:t>
      </w:r>
    </w:p>
    <w:p w14:paraId="633F01BC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3 : élèves nés en 2008 et avant.</w:t>
      </w:r>
    </w:p>
    <w:p w14:paraId="033286F5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Garçons – de 16 ans = nés en 2010 et après.</w:t>
      </w:r>
    </w:p>
    <w:p w14:paraId="44700992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Garçons + de 16 ans = nés en 2009 et avant.</w:t>
      </w:r>
    </w:p>
    <w:bookmarkEnd w:id="0"/>
    <w:p w14:paraId="192BF219" w14:textId="77777777" w:rsidR="007015AF" w:rsidRPr="007015AF" w:rsidRDefault="007015AF" w:rsidP="007015AF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5F35B36" w14:textId="77777777" w:rsidR="007015AF" w:rsidRPr="007015AF" w:rsidRDefault="007015AF" w:rsidP="007015AF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A.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Sports collectifs</w:t>
      </w:r>
    </w:p>
    <w:p w14:paraId="23FEEDF3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5FB5A20" w14:textId="77777777" w:rsidR="007015AF" w:rsidRPr="007015AF" w:rsidRDefault="007015AF" w:rsidP="007015AF">
      <w:pPr>
        <w:tabs>
          <w:tab w:val="left" w:pos="180"/>
          <w:tab w:val="left" w:pos="10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Filles : toutes les catégories en netball et unihockey.</w:t>
      </w:r>
    </w:p>
    <w:p w14:paraId="16BD1EBF" w14:textId="77777777" w:rsidR="007015AF" w:rsidRPr="007015AF" w:rsidRDefault="007015AF" w:rsidP="007015AF">
      <w:pPr>
        <w:tabs>
          <w:tab w:val="left" w:pos="180"/>
          <w:tab w:val="left" w:pos="108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Garçons : catégorie 1 : football en salle, unihockey.</w:t>
      </w:r>
    </w:p>
    <w:p w14:paraId="705143CD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</w:t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 : basketball, football en salle, unihockey.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78A2F513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</w:t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3 : basketball et football en salle.</w:t>
      </w:r>
    </w:p>
    <w:p w14:paraId="1EA0BF6F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7DCBD99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B.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Grandes journées</w:t>
      </w: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ab/>
      </w:r>
    </w:p>
    <w:p w14:paraId="0A6259DF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A1E77D5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Athlétisme, badminton, course d’orientation, cross, expression rythmique,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indiaca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mölkky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natation, tennis de table,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voketball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et zumba.</w:t>
      </w:r>
    </w:p>
    <w:p w14:paraId="7DE80C94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A3780AD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C. Journées spécifiques aux élèves relevant du type 2 d’enseignement</w:t>
      </w:r>
    </w:p>
    <w:p w14:paraId="4E5050E0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A3B8E05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Bowling, cross, expression rythmique, gymkhana rallye,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joelette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, natation, multisports, parcours santé, pétanque </w:t>
      </w:r>
      <w:proofErr w:type="gram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et  jeu</w:t>
      </w:r>
      <w:proofErr w:type="gram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de l’oie.</w:t>
      </w:r>
    </w:p>
    <w:p w14:paraId="59C43E31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892B8B0" w14:textId="77777777" w:rsidR="007015AF" w:rsidRPr="007015AF" w:rsidRDefault="007015AF" w:rsidP="007015AF">
      <w:pPr>
        <w:tabs>
          <w:tab w:val="left" w:pos="180"/>
          <w:tab w:val="left" w:pos="90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D. Journées spécifiques aux élèves relevant du type 4 d’enseignement</w:t>
      </w:r>
    </w:p>
    <w:p w14:paraId="0FC41E7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1D09B1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Activités spécifiques en accord avec le responsable FSWBE.</w:t>
      </w:r>
    </w:p>
    <w:p w14:paraId="6ADB54A4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B4AFEE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721D058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7426D2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A6238F4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52F9C9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E963BC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3. INTERNATS ET HOMES D’ACCUEIL</w:t>
      </w:r>
    </w:p>
    <w:p w14:paraId="2480C1C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A96996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E87E16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inscriptions seront introduites lors de la première réunion générale de l’année scolaire 2025-2026 (en septembre 2025).</w:t>
      </w:r>
    </w:p>
    <w:p w14:paraId="3DDF164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élèves doivent être inscrits dans un internat ou un home d’accueil de l’enseignement spécialisé.</w:t>
      </w:r>
    </w:p>
    <w:p w14:paraId="3267080C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5AC952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Remarque :</w:t>
      </w:r>
    </w:p>
    <w:p w14:paraId="38E3602C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5ED51C1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▪ Les frais de déplacement de cars privés ne sont pas pris en charge par la FSWBE.</w:t>
      </w:r>
    </w:p>
    <w:p w14:paraId="7C65FD7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6FB928A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D595C8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Activités</w:t>
      </w:r>
    </w:p>
    <w:p w14:paraId="583F29AA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A2E465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C4C1F9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Athlétisme, badminton, baseball,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minibasket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, biathlon, BMX, cross-jogging, football, football en salle, </w:t>
      </w:r>
      <w:proofErr w:type="spellStart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indiaca</w:t>
      </w:r>
      <w:proofErr w:type="spellEnd"/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, kayak, marche d’orientation, multisports, netball, patinage, rallye pédestre, roller, run-bike, tennis de table, unihockey, vtt et propositions en accord avec le responsable FSWBE.</w:t>
      </w:r>
    </w:p>
    <w:p w14:paraId="7F64A3FE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2F433B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4. DISPOSITIONS GENERALES</w:t>
      </w:r>
    </w:p>
    <w:p w14:paraId="7D70073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DD16A6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5EBA57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listes des activités présentées sont exhaustives.  Des impératifs budgétaires pourraient amener la FSWBE à supprimer l’une ou l’autre discipline.</w:t>
      </w:r>
    </w:p>
    <w:p w14:paraId="6C38B5D4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6A464F3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Les rubriques suivantes sont d’application pour l’enseignement spécialisé.</w:t>
      </w:r>
    </w:p>
    <w:p w14:paraId="7BC19D8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DC47F4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Conditions de participation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page    12</w:t>
      </w:r>
    </w:p>
    <w:p w14:paraId="0652EAB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Règlement général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page    13</w:t>
      </w:r>
    </w:p>
    <w:p w14:paraId="3602F28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Dispositions générales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page 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16</w:t>
      </w:r>
    </w:p>
    <w:p w14:paraId="2A1EF78A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Dispositions en cas d’égalité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page 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21</w:t>
      </w:r>
    </w:p>
    <w:p w14:paraId="010B4274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Points de récompense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page 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22</w:t>
      </w:r>
    </w:p>
    <w:p w14:paraId="2800FD09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Critères de reconnaissance des établissements sportifs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page 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24</w:t>
      </w:r>
    </w:p>
    <w:p w14:paraId="48F81225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Critères de reconnaissance des clubs scolaires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page </w:t>
      </w: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26</w:t>
      </w:r>
    </w:p>
    <w:p w14:paraId="6FDCEC8B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96B8397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Des règles spécifiques ont été réalisées par des équipes de professeurs de l’enseignement spécialisé du fondamental et du secondaire, ils sont disponibles sur le site www.fswbe.be</w:t>
      </w:r>
    </w:p>
    <w:p w14:paraId="7CA3EB54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787ED8D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Réclamation</w:t>
      </w:r>
    </w:p>
    <w:p w14:paraId="74B113C2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84FFC00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Pour être valable, toute réclamation doit être inscrite sur la feuille de match.</w:t>
      </w:r>
    </w:p>
    <w:p w14:paraId="3F837606" w14:textId="77777777" w:rsidR="007015AF" w:rsidRPr="007015AF" w:rsidRDefault="007015AF" w:rsidP="007015AF">
      <w:pPr>
        <w:tabs>
          <w:tab w:val="left" w:pos="180"/>
          <w:tab w:val="left" w:pos="1080"/>
          <w:tab w:val="left" w:pos="198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7015AF">
        <w:rPr>
          <w:rFonts w:ascii="Arial" w:eastAsia="Times New Roman" w:hAnsi="Arial" w:cs="Arial"/>
          <w:kern w:val="0"/>
          <w:lang w:val="fr-FR" w:eastAsia="fr-FR"/>
          <w14:ligatures w14:val="none"/>
        </w:rPr>
        <w:t>Elle doit parvenir le jour même au responsable de la FSWBE.</w:t>
      </w:r>
    </w:p>
    <w:p w14:paraId="31539ED8" w14:textId="77777777" w:rsidR="007015AF" w:rsidRPr="007015AF" w:rsidRDefault="007015AF" w:rsidP="007015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u w:val="single"/>
          <w:lang w:val="fr-FR" w:eastAsia="fr-FR"/>
          <w14:ligatures w14:val="none"/>
        </w:rPr>
      </w:pPr>
    </w:p>
    <w:p w14:paraId="70019610" w14:textId="77777777" w:rsidR="007015AF" w:rsidRPr="007015AF" w:rsidRDefault="007015AF" w:rsidP="007015AF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eastAsia="fr-FR"/>
          <w14:ligatures w14:val="none"/>
        </w:rPr>
      </w:pPr>
      <w:r w:rsidRPr="007015AF">
        <w:rPr>
          <w:rFonts w:ascii="Arial" w:eastAsia="Times New Roman" w:hAnsi="Arial" w:cs="Arial"/>
          <w:b/>
          <w:color w:val="000000"/>
          <w:kern w:val="0"/>
          <w:lang w:eastAsia="fr-FR"/>
          <w14:ligatures w14:val="none"/>
        </w:rPr>
        <w:t>Calcul des points de récompense</w:t>
      </w:r>
    </w:p>
    <w:p w14:paraId="07E6DC9A" w14:textId="77777777" w:rsidR="007015AF" w:rsidRPr="007015AF" w:rsidRDefault="007015AF" w:rsidP="007015AF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eastAsia="fr-FR"/>
          <w14:ligatures w14:val="none"/>
        </w:rPr>
      </w:pPr>
    </w:p>
    <w:p w14:paraId="3EA9ABEE" w14:textId="77777777" w:rsidR="007015AF" w:rsidRPr="007015AF" w:rsidRDefault="007015AF" w:rsidP="007015AF">
      <w:pPr>
        <w:tabs>
          <w:tab w:val="left" w:pos="2552"/>
          <w:tab w:val="left" w:pos="5387"/>
        </w:tabs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</w:pP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 xml:space="preserve">Fondamental : </w:t>
      </w: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ab/>
        <w:t>15 pts/inscription</w:t>
      </w: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ab/>
        <w:t>30 pts organisation</w:t>
      </w:r>
    </w:p>
    <w:p w14:paraId="0E3594D8" w14:textId="77777777" w:rsidR="007015AF" w:rsidRPr="007015AF" w:rsidRDefault="007015AF" w:rsidP="007015AF">
      <w:pPr>
        <w:tabs>
          <w:tab w:val="left" w:pos="2552"/>
          <w:tab w:val="left" w:pos="5387"/>
        </w:tabs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</w:pP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>Secondaire :</w:t>
      </w: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ab/>
        <w:t>30 pts/journée</w:t>
      </w:r>
    </w:p>
    <w:p w14:paraId="108EBD44" w14:textId="389BCB9B" w:rsidR="007015AF" w:rsidRDefault="007015AF" w:rsidP="007015AF"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>IHA :</w:t>
      </w: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ab/>
        <w:t>15 pts/inscription</w:t>
      </w:r>
      <w:r w:rsidRPr="007015AF">
        <w:rPr>
          <w:rFonts w:ascii="Arial" w:eastAsia="Times New Roman" w:hAnsi="Arial" w:cs="Arial"/>
          <w:bCs/>
          <w:color w:val="000000"/>
          <w:kern w:val="0"/>
          <w:lang w:eastAsia="fr-FR"/>
          <w14:ligatures w14:val="none"/>
        </w:rPr>
        <w:tab/>
        <w:t>30 pts organisation</w:t>
      </w:r>
    </w:p>
    <w:sectPr w:rsidR="0070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AF"/>
    <w:rsid w:val="007015AF"/>
    <w:rsid w:val="00E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4DED"/>
  <w15:chartTrackingRefBased/>
  <w15:docId w15:val="{D6BB0ACC-3590-41E6-B4DD-9694177A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1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1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1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1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1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1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1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1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1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1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1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1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1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1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1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1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1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2025-10-20T06:31:00Z</dcterms:created>
  <dcterms:modified xsi:type="dcterms:W3CDTF">2025-10-20T06:31:00Z</dcterms:modified>
</cp:coreProperties>
</file>